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931F41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2919D7">
        <w:rPr>
          <w:rFonts w:ascii="Times New Roman" w:hAnsi="Times New Roman"/>
          <w:b/>
          <w:sz w:val="28"/>
          <w:szCs w:val="28"/>
        </w:rPr>
        <w:t>РАБ(и)_</w:t>
      </w:r>
      <w:r w:rsidR="007E18B5">
        <w:rPr>
          <w:rFonts w:ascii="Times New Roman" w:hAnsi="Times New Roman"/>
          <w:b/>
          <w:sz w:val="28"/>
          <w:szCs w:val="28"/>
        </w:rPr>
        <w:t>656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931F41">
        <w:rPr>
          <w:rFonts w:ascii="Times New Roman" w:hAnsi="Times New Roman"/>
          <w:b/>
          <w:sz w:val="28"/>
          <w:szCs w:val="28"/>
        </w:rPr>
        <w:t>23.06</w:t>
      </w:r>
      <w:r w:rsidR="007E18B5">
        <w:rPr>
          <w:rFonts w:ascii="Times New Roman" w:hAnsi="Times New Roman"/>
          <w:b/>
          <w:sz w:val="28"/>
          <w:szCs w:val="28"/>
        </w:rPr>
        <w:t>.2021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D37D18" w:rsidRDefault="00034F58" w:rsidP="002919D7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D37D1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D37D18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 xml:space="preserve">Разработка проектной и рабочей документации по техническому перевооружению опасного производственного объект: "Сеть </w:t>
      </w:r>
      <w:r w:rsidR="00566551" w:rsidRPr="002919D7">
        <w:rPr>
          <w:rFonts w:ascii="Times New Roman" w:hAnsi="Times New Roman"/>
          <w:b/>
          <w:sz w:val="20"/>
          <w:szCs w:val="20"/>
          <w:lang w:eastAsia="en-US"/>
        </w:rPr>
        <w:t>газораспределения</w:t>
      </w:r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 xml:space="preserve"> предприятия. Замена ГРП №4</w:t>
      </w:r>
      <w:r w:rsidR="006838FF" w:rsidRPr="006838FF">
        <w:rPr>
          <w:rFonts w:ascii="Times New Roman" w:hAnsi="Times New Roman"/>
          <w:b/>
          <w:sz w:val="20"/>
          <w:szCs w:val="20"/>
          <w:lang w:eastAsia="en-US"/>
        </w:rPr>
        <w:t>,</w:t>
      </w:r>
      <w:r w:rsidR="006838FF" w:rsidRPr="006838FF">
        <w:rPr>
          <w:rFonts w:ascii="Times New Roman" w:hAnsi="Times New Roman"/>
          <w:color w:val="000000"/>
          <w:sz w:val="20"/>
          <w:szCs w:val="20"/>
        </w:rPr>
        <w:t xml:space="preserve"> о</w:t>
      </w:r>
      <w:r w:rsidR="006838FF" w:rsidRPr="006838FF">
        <w:rPr>
          <w:rFonts w:ascii="Times New Roman" w:hAnsi="Times New Roman"/>
          <w:sz w:val="20"/>
          <w:szCs w:val="20"/>
        </w:rPr>
        <w:t>ткрытый тендер в формате приглашения делать оферты (п .1 статьи 437 ГК РФ), не является публичной офертой.</w:t>
      </w:r>
    </w:p>
    <w:p w:rsidR="00034F58" w:rsidRPr="00D37D18" w:rsidRDefault="00034F58" w:rsidP="00D37D18">
      <w:p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31F41">
        <w:rPr>
          <w:rFonts w:ascii="Times New Roman" w:hAnsi="Times New Roman"/>
          <w:color w:val="000000"/>
          <w:sz w:val="20"/>
          <w:szCs w:val="20"/>
          <w:lang w:eastAsia="en-US"/>
        </w:rPr>
        <w:t>23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31F41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6838FF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31F41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31F41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6838FF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931F41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31F41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="006838FF">
        <w:rPr>
          <w:rFonts w:ascii="Times New Roman" w:hAnsi="Times New Roman"/>
          <w:color w:val="000000"/>
          <w:sz w:val="20"/>
          <w:szCs w:val="20"/>
          <w:lang w:eastAsia="en-US"/>
        </w:rPr>
        <w:t>.2021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6966F0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931F41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31F41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6838FF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6838FF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6838F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931F41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31F41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6838FF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1F71C4"/>
    <w:rsid w:val="002919D7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66551"/>
    <w:rsid w:val="0057484C"/>
    <w:rsid w:val="00587A35"/>
    <w:rsid w:val="005D59F9"/>
    <w:rsid w:val="005D7882"/>
    <w:rsid w:val="00611340"/>
    <w:rsid w:val="00645744"/>
    <w:rsid w:val="006709FB"/>
    <w:rsid w:val="006838FF"/>
    <w:rsid w:val="006966F0"/>
    <w:rsid w:val="00697BD0"/>
    <w:rsid w:val="00706DC0"/>
    <w:rsid w:val="007175B5"/>
    <w:rsid w:val="0073576D"/>
    <w:rsid w:val="00741799"/>
    <w:rsid w:val="0075187B"/>
    <w:rsid w:val="00782F3B"/>
    <w:rsid w:val="007E18B5"/>
    <w:rsid w:val="0082636F"/>
    <w:rsid w:val="00844DC9"/>
    <w:rsid w:val="00851595"/>
    <w:rsid w:val="00856A2C"/>
    <w:rsid w:val="008A6C29"/>
    <w:rsid w:val="008D171F"/>
    <w:rsid w:val="008D7C03"/>
    <w:rsid w:val="00931F41"/>
    <w:rsid w:val="009A50DE"/>
    <w:rsid w:val="009C6EC1"/>
    <w:rsid w:val="009D6389"/>
    <w:rsid w:val="00B054D6"/>
    <w:rsid w:val="00B37952"/>
    <w:rsid w:val="00B50879"/>
    <w:rsid w:val="00B80695"/>
    <w:rsid w:val="00BB1089"/>
    <w:rsid w:val="00C02F16"/>
    <w:rsid w:val="00CB556E"/>
    <w:rsid w:val="00D061FA"/>
    <w:rsid w:val="00D37D18"/>
    <w:rsid w:val="00D5596F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1D16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3</cp:revision>
  <dcterms:created xsi:type="dcterms:W3CDTF">2021-06-23T08:22:00Z</dcterms:created>
  <dcterms:modified xsi:type="dcterms:W3CDTF">2021-06-23T08:23:00Z</dcterms:modified>
</cp:coreProperties>
</file>